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44" w:rsidRPr="005D0DCC" w:rsidRDefault="004862F7" w:rsidP="004862F7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أفريقيا</w:t>
      </w:r>
    </w:p>
    <w:p w:rsidR="004862F7" w:rsidRPr="005D0DCC" w:rsidRDefault="004862F7" w:rsidP="004862F7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D0DCC">
        <w:rPr>
          <w:rFonts w:asciiTheme="majorBidi" w:hAnsiTheme="majorBidi" w:cstheme="majorBidi"/>
          <w:sz w:val="24"/>
          <w:szCs w:val="24"/>
          <w:rtl/>
        </w:rPr>
        <w:t>أعلى طبقة زخرفية تشطيبية للأسطح الداخلية، مع أنماط معدنية.</w:t>
      </w:r>
    </w:p>
    <w:p w:rsidR="004862F7" w:rsidRPr="005D0DCC" w:rsidRDefault="004862F7" w:rsidP="004862F7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proofErr w:type="spellStart"/>
      <w:proofErr w:type="gramStart"/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proofErr w:type="spellStart"/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Srl</w:t>
      </w:r>
      <w:proofErr w:type="spellEnd"/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تعطي الأولوية لحماية البيئة و السلامة في مكان العمل.</w:t>
      </w:r>
      <w:proofErr w:type="gramEnd"/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لهذا السبب، تسعى </w:t>
      </w:r>
      <w:proofErr w:type="spellStart"/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باستمرار لتحسين جودة منتجاتها و دورات إنتاجها من أجل الحد من التأثير العام على البيئة و ضمان جودة و سلامة العملاء.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ورقة البينانات البيئية هذه تظهر المعلومات البيئية لأفريقيا: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LCA, LEED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و غيرها من المعلومات.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أفريقيا هي أعلى طبقة تشطيبية للأسطح الداخلية، مع أصباغ معدنية ناعمة. تخلق الأنماط لعبة فريدة من الأضواء والظلال.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4862F7" w:rsidRPr="005D0DCC" w:rsidRDefault="004862F7" w:rsidP="004862F7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5D0D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دورة الحياة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تقييم دورة الحياة هي أداة لقياس الأثر البيئي لمنتج او خدمة طوال دورة حياتها. طريقة تقييم دورة الحياة، كما تم تعريفها من قبل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ISO 14040/44 [1-2]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، تتكون من أربع مراحل:</w:t>
      </w:r>
    </w:p>
    <w:p w:rsidR="004862F7" w:rsidRPr="005D0DCC" w:rsidRDefault="004862F7" w:rsidP="004862F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تعريف الهدف و النطاق</w:t>
      </w:r>
    </w:p>
    <w:p w:rsidR="004862F7" w:rsidRPr="005D0DCC" w:rsidRDefault="004862F7" w:rsidP="004862F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تحليل المخزون</w:t>
      </w:r>
    </w:p>
    <w:p w:rsidR="004862F7" w:rsidRPr="005D0DCC" w:rsidRDefault="004862F7" w:rsidP="004862F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تقييم الأثر</w:t>
      </w:r>
    </w:p>
    <w:p w:rsidR="004862F7" w:rsidRPr="005D0DCC" w:rsidRDefault="004862F7" w:rsidP="004862F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التفسير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الهدف والنطاق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الهدف من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تقييم دورة الحياة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[3]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هو توفير الشفافية بشأن الأداء البيئي لأفريقيا، لخلق خيارات التحسين ودعم الاتصالات البيئية. الوحدة الوظيفية هي 1 كجم من الطلاء بما في ذلك التعبئة والتغليف، مع معدل انتشار16-20 متر مربع / لتر (لكل طبقة). و تشمل حدود نظام مواد الخام، النقل، المعالجة، التعبئة و التغليف، التوزيع، الاستعمال و التخلص من التعبئة و التغليف. خلال مرحلة الاستخدام يتم تطبيق الطلاء يدويا، والانبعاثات المرتبطة بها غير مهمة.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5D0D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 xml:space="preserve">تحليل المخزون 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تستخدم البيانات الأولية للعمليات الأكثر أهمية، مثل وصفة الطلاء، التعبئة و التغليف و استهلاك المصنع و الانبعاثات. تشير البيانات الى عام 2011 و التي يتم جمعها في مصنع </w:t>
      </w:r>
      <w:proofErr w:type="spellStart"/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الذي يقع في فورلي و ماركون (في).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البيانات الثانوية تنشأ من قاعدة بيانات الايكولوجية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v2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[4]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يتم إجراء حسابات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مع برنامج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LCA </w:t>
      </w:r>
      <w:proofErr w:type="spellStart"/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SimaPro</w:t>
      </w:r>
      <w:proofErr w:type="spellEnd"/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7.3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[5]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الأثر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و قد تم تقييم تأثير دورة الحياة مع طريقة طلاء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PCR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2010:18 على الطلاء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[6]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، كما هو مبين في برنامج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من اتحاد 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الدولي. و تتكون هذه الطريقة من مؤشرات بيئية مختلفة بما في ذلك البصمة الكربونية، ومحتوى الطاقة، و استهلاك الموارد المادية، واستهلاك المياه والنفايات. و يبين الجدول 1 نتائج تقييم دورة الحياة.</w:t>
      </w:r>
    </w:p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tbl>
      <w:tblPr>
        <w:tblStyle w:val="TableGrid"/>
        <w:tblW w:w="0" w:type="auto"/>
        <w:tblLook w:val="04A0"/>
      </w:tblPr>
      <w:tblGrid>
        <w:gridCol w:w="1233"/>
        <w:gridCol w:w="1722"/>
        <w:gridCol w:w="1674"/>
        <w:gridCol w:w="1246"/>
        <w:gridCol w:w="1211"/>
        <w:gridCol w:w="1204"/>
        <w:gridCol w:w="1234"/>
      </w:tblGrid>
      <w:tr w:rsidR="004862F7" w:rsidRPr="005D0DCC" w:rsidTr="00612BAD">
        <w:tc>
          <w:tcPr>
            <w:tcW w:w="2902" w:type="dxa"/>
            <w:gridSpan w:val="2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الوحدة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المنبع</w:t>
            </w: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النواة</w:t>
            </w: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المصب</w:t>
            </w:r>
          </w:p>
        </w:tc>
      </w:tr>
      <w:tr w:rsidR="004862F7" w:rsidRPr="005D0DCC" w:rsidTr="00612BAD">
        <w:tc>
          <w:tcPr>
            <w:tcW w:w="1233" w:type="dxa"/>
            <w:vMerge w:val="restart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فئات التأثير</w:t>
            </w: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الاحتباس الحراري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(100 سنة</w:t>
            </w:r>
            <w:r w:rsidRPr="005D0DC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)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لثاني أكسيد الكربون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tabs>
                <w:tab w:val="left" w:pos="7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استنزاف 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طبقة الأوزون (20 سنة</w:t>
            </w:r>
            <w:r w:rsidRPr="005D0DC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 xml:space="preserve">ملغم مكافئ 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لكلوروفلوروكربون -11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الأكسدة الضوئية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للإثيلين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التحمض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لثاني أكسيد الكبريت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الإثراء الغذائي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للفوسفات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سمية البشرية اللانهائية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المياه العذبة اللإيكولوجية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رواسب المياه العذبة  الإيكولوجية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البيئية المائية البحرية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الإيكولوجية للرواسب البحرية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 w:val="restart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محتوى الطاقة</w:t>
            </w: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5D0D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5D0D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 w:val="restart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الموارد المادية</w:t>
            </w: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rPr>
          <w:trHeight w:val="242"/>
        </w:trPr>
        <w:tc>
          <w:tcPr>
            <w:tcW w:w="1233" w:type="dxa"/>
            <w:vMerge w:val="restart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أخرى</w:t>
            </w: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مواد لإعادة التدوير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الماء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 w:val="restart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المخلفات</w:t>
            </w: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غير الخطرة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62F7" w:rsidRPr="005D0DCC" w:rsidTr="00612BAD">
        <w:tc>
          <w:tcPr>
            <w:tcW w:w="1233" w:type="dxa"/>
            <w:vMerge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الخطرة</w:t>
            </w:r>
          </w:p>
        </w:tc>
        <w:tc>
          <w:tcPr>
            <w:tcW w:w="1553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</w:rPr>
              <w:t>غرام</w:t>
            </w:r>
          </w:p>
        </w:tc>
        <w:tc>
          <w:tcPr>
            <w:tcW w:w="1246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4862F7" w:rsidRPr="005D0DCC" w:rsidRDefault="004862F7" w:rsidP="00612B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862F7" w:rsidRPr="005D0DCC" w:rsidRDefault="004862F7" w:rsidP="004862F7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p w:rsidR="004862F7" w:rsidRPr="005D0DCC" w:rsidRDefault="004862F7" w:rsidP="004862F7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التفسير: </w:t>
      </w:r>
    </w:p>
    <w:p w:rsidR="004862F7" w:rsidRPr="005D0DCC" w:rsidRDefault="004862F7" w:rsidP="00554F6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5D0DCC">
        <w:rPr>
          <w:rFonts w:asciiTheme="majorBidi" w:hAnsiTheme="majorBidi" w:cstheme="majorBidi"/>
          <w:sz w:val="24"/>
          <w:szCs w:val="24"/>
          <w:rtl/>
        </w:rPr>
        <w:t xml:space="preserve">تشير نتائج تقييم دورة الحياة إلى أن أكبر المساهمات تأتي من العمليات التمهيدية (أي مواد الخام). البصمة الكربونية من </w:t>
      </w:r>
      <w:r w:rsidR="00554F6F" w:rsidRPr="005D0DCC">
        <w:rPr>
          <w:rFonts w:asciiTheme="majorBidi" w:hAnsiTheme="majorBidi" w:cstheme="majorBidi"/>
          <w:sz w:val="24"/>
          <w:szCs w:val="24"/>
          <w:rtl/>
        </w:rPr>
        <w:t>أفريقيا</w:t>
      </w:r>
      <w:r w:rsidRPr="005D0DCC">
        <w:rPr>
          <w:rFonts w:asciiTheme="majorBidi" w:hAnsiTheme="majorBidi" w:cstheme="majorBidi"/>
          <w:sz w:val="24"/>
          <w:szCs w:val="24"/>
          <w:rtl/>
        </w:rPr>
        <w:t xml:space="preserve"> هو 1.</w:t>
      </w:r>
      <w:r w:rsidR="00554F6F" w:rsidRPr="005D0DCC">
        <w:rPr>
          <w:rFonts w:asciiTheme="majorBidi" w:hAnsiTheme="majorBidi" w:cstheme="majorBidi"/>
          <w:sz w:val="24"/>
          <w:szCs w:val="24"/>
          <w:rtl/>
        </w:rPr>
        <w:t>48</w:t>
      </w:r>
      <w:r w:rsidRPr="005D0DCC">
        <w:rPr>
          <w:rFonts w:asciiTheme="majorBidi" w:hAnsiTheme="majorBidi" w:cstheme="majorBidi"/>
          <w:sz w:val="24"/>
          <w:szCs w:val="24"/>
          <w:rtl/>
        </w:rPr>
        <w:t xml:space="preserve"> كجم مكافئ لثاني أكسيد الكربون واستهلاك المياه هو </w:t>
      </w:r>
      <w:r w:rsidR="00554F6F" w:rsidRPr="005D0DCC">
        <w:rPr>
          <w:rFonts w:asciiTheme="majorBidi" w:hAnsiTheme="majorBidi" w:cstheme="majorBidi"/>
          <w:sz w:val="24"/>
          <w:szCs w:val="24"/>
          <w:rtl/>
        </w:rPr>
        <w:t>52.4</w:t>
      </w:r>
      <w:r w:rsidRPr="005D0DCC">
        <w:rPr>
          <w:rFonts w:asciiTheme="majorBidi" w:hAnsiTheme="majorBidi" w:cstheme="majorBidi"/>
          <w:sz w:val="24"/>
          <w:szCs w:val="24"/>
          <w:rtl/>
        </w:rPr>
        <w:t xml:space="preserve"> لتر. و تعود القيمة السلبية لمحتوى الطاقة المتجددة إلى إعادة استخدام المنصات.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5D0DCC" w:rsidRPr="005D0DCC" w:rsidRDefault="005D0DCC" w:rsidP="005D0DC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b/>
          <w:bCs/>
          <w:sz w:val="24"/>
          <w:szCs w:val="24"/>
        </w:rPr>
        <w:t>LEED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 تعني</w:t>
      </w:r>
      <w:proofErr w:type="gram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القيادة في الطاقة والتصميم البيئي. وهو برنامج تطوعي يوفر التحقق من المباني الخارجية للمباني الخضراء.و يوفر أداة لفهم الأداء البيئي للمبنى وخلق مساحات داخلية صحية لأصحاب المباني والمشغلين. 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من أجل الحصول على شهادة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يجب على المشاريع تلبية الشروط المسبقة وكسب النقاط (هناك عتبة). عدد النقاط التي يكسبها المشروع يحدد مستوى شهادة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5D0DCC">
        <w:rPr>
          <w:rFonts w:asciiTheme="majorBidi" w:hAnsiTheme="majorBidi" w:cstheme="majorBidi"/>
          <w:sz w:val="24"/>
          <w:szCs w:val="24"/>
          <w:lang w:bidi="ar-OM"/>
        </w:rPr>
        <w:lastRenderedPageBreak/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هو نظام الشهادات التي تتعامل مع الأداء البيئي للمباني على أساس الخصائص العامة للمشروع.</w:t>
      </w:r>
      <w:proofErr w:type="gram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الرغم من أن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 تشهد المنتجات والخدمات من الشركات الفردية، تلعب المنتجات و الخدمات دورا ويمكن أن تساعد المشاريع على تحقيق الائتمان.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 يبين الجدول أدناه مساهمة أفريقيا المحتملة في مختلف ائتمانات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من نظام تقييم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 للبناء الجديد والتجديدات الكبرى [7]. و يبين الجدول 1 المساهمة المحتملة للطلاء في الاعتمادات المحتملة، إذا استخدمت بشكل صحيح.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الجدول 2: القروض المحتملة ل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</w:p>
    <w:tbl>
      <w:tblPr>
        <w:tblStyle w:val="TableGrid"/>
        <w:bidiVisual/>
        <w:tblW w:w="0" w:type="auto"/>
        <w:tblLook w:val="04A0"/>
      </w:tblPr>
      <w:tblGrid>
        <w:gridCol w:w="2311"/>
        <w:gridCol w:w="2309"/>
        <w:gridCol w:w="2313"/>
        <w:gridCol w:w="2309"/>
      </w:tblGrid>
      <w:tr w:rsidR="005D0DCC" w:rsidRPr="005D0DCC" w:rsidTr="00612BAD">
        <w:tc>
          <w:tcPr>
            <w:tcW w:w="231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ملاحظات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النقاط المحتملة</w:t>
            </w:r>
          </w:p>
        </w:tc>
        <w:tc>
          <w:tcPr>
            <w:tcW w:w="2313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الوصف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ائتمانات </w:t>
            </w:r>
            <w:r w:rsidRPr="005D0DC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LEED</w:t>
            </w:r>
          </w:p>
        </w:tc>
      </w:tr>
      <w:tr w:rsidR="005D0DCC" w:rsidRPr="005D0DCC" w:rsidTr="00612BAD">
        <w:tc>
          <w:tcPr>
            <w:tcW w:w="231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وفقا لنسبة المنتجات التي تم انتاجها و معالجتها محليا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– 2 نقطة</w:t>
            </w:r>
          </w:p>
        </w:tc>
        <w:tc>
          <w:tcPr>
            <w:tcW w:w="2313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الإقليمية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5D0DC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5</w:t>
            </w:r>
          </w:p>
        </w:tc>
      </w:tr>
      <w:tr w:rsidR="005D0DCC" w:rsidRPr="005D0DCC" w:rsidTr="00612BAD">
        <w:tc>
          <w:tcPr>
            <w:tcW w:w="231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تتوفر المزيد من المعلومات عند الطلب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2313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خطة إدارة بناء جودة الهواء في الاماكن المغلقة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5D0DC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3.2</w:t>
            </w:r>
          </w:p>
        </w:tc>
      </w:tr>
      <w:tr w:rsidR="005D0DCC" w:rsidRPr="005D0DCC" w:rsidTr="00612BAD">
        <w:tc>
          <w:tcPr>
            <w:tcW w:w="231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تتوفر المزيد من المعلومات عند الطلب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2313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المنخفضة الباعثة للدهانات والطلاء</w:t>
            </w:r>
          </w:p>
        </w:tc>
        <w:tc>
          <w:tcPr>
            <w:tcW w:w="2309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5D0DC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5D0DC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4.2</w:t>
            </w:r>
          </w:p>
        </w:tc>
      </w:tr>
    </w:tbl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 w:rsidRPr="005D0DCC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 تضمن حصول المشاريع التي تتبع شهادة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القروض.</w:t>
      </w:r>
      <w:proofErr w:type="gram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سيحتاج المصمم او المهندس الى التقييم و التحقق اذا كان المشروع يتوافق  مع متطلبات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معلومات أخرى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val="en-GB"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توجيه المركبات العضوية المتطايرة 42/2004/ المفوضية الاوروبية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قيمة حد الاتحاد الأوروبي (التوجيه 2004/42 / المفوضية الاوروبية) [8]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قيمة حد الاتحاد الأوروبي لأفريقيا (كات أ/ل): طلاء تأثير زخرفي (قائم على المياه): 200 غرام/لتر (2010)</w:t>
      </w:r>
    </w:p>
    <w:p w:rsidR="004862F7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أفريقيا يحتوي على 20 غرام/لتر كحد أقصى من المركبات العضوية المتطايرة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</w:p>
    <w:p w:rsidR="005D0DCC" w:rsidRPr="005D0DCC" w:rsidRDefault="005D0DCC" w:rsidP="005D0DCC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فهرس تصميم منظمة التعاون الاقتصادي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مكافحة أنشطة تصميم منظمة التعاون الاقتصادي التي تؤثر على الطلاء، تم أنجازها من قبل الشركة.</w: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5D0DCC" w:rsidRPr="005D0DCC" w:rsidTr="00612BAD">
        <w:tc>
          <w:tcPr>
            <w:tcW w:w="3080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التاريخ</w:t>
            </w:r>
          </w:p>
        </w:tc>
        <w:tc>
          <w:tcPr>
            <w:tcW w:w="308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عنصر النشاط</w:t>
            </w:r>
          </w:p>
        </w:tc>
        <w:tc>
          <w:tcPr>
            <w:tcW w:w="308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الرقم</w:t>
            </w:r>
          </w:p>
        </w:tc>
      </w:tr>
      <w:tr w:rsidR="005D0DCC" w:rsidRPr="005D0DCC" w:rsidTr="00612BAD">
        <w:tc>
          <w:tcPr>
            <w:tcW w:w="3080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مارس 2013</w:t>
            </w:r>
          </w:p>
        </w:tc>
        <w:tc>
          <w:tcPr>
            <w:tcW w:w="308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العدد الأول</w:t>
            </w:r>
          </w:p>
        </w:tc>
        <w:tc>
          <w:tcPr>
            <w:tcW w:w="3081" w:type="dxa"/>
          </w:tcPr>
          <w:p w:rsidR="005D0DCC" w:rsidRPr="005D0DCC" w:rsidRDefault="005D0DCC" w:rsidP="00612B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5D0D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1</w:t>
            </w:r>
          </w:p>
        </w:tc>
      </w:tr>
    </w:tbl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</w:p>
    <w:p w:rsidR="005D0DCC" w:rsidRPr="005D0DCC" w:rsidRDefault="005D0DCC" w:rsidP="005D0DC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المراجع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t>[1]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14040،2006: الإدارة البيئية، تقييم دورة الحياة، المبادئ و الإطار.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 xml:space="preserve"> CEN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 (</w:t>
      </w:r>
      <w:r w:rsidRPr="005D0DCC">
        <w:rPr>
          <w:rFonts w:asciiTheme="majorBidi" w:hAnsiTheme="majorBidi" w:cstheme="majorBidi"/>
          <w:sz w:val="24"/>
          <w:szCs w:val="24"/>
        </w:rPr>
        <w:fldChar w:fldCharType="begin"/>
      </w:r>
      <w:r w:rsidRPr="005D0DCC">
        <w:rPr>
          <w:rFonts w:asciiTheme="majorBidi" w:hAnsiTheme="majorBidi" w:cstheme="majorBidi"/>
          <w:sz w:val="24"/>
          <w:szCs w:val="24"/>
        </w:rPr>
        <w:instrText>HYPERLINK "http://www.iso.org"</w:instrText>
      </w:r>
      <w:r w:rsidRPr="005D0DCC">
        <w:rPr>
          <w:rFonts w:asciiTheme="majorBidi" w:hAnsiTheme="majorBidi" w:cstheme="majorBidi"/>
          <w:sz w:val="24"/>
          <w:szCs w:val="24"/>
        </w:rPr>
        <w:fldChar w:fldCharType="separate"/>
      </w:r>
      <w:r w:rsidRPr="005D0DCC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Pr="005D0DCC">
        <w:rPr>
          <w:rFonts w:asciiTheme="majorBidi" w:hAnsiTheme="majorBidi" w:cstheme="majorBidi"/>
          <w:sz w:val="24"/>
          <w:szCs w:val="24"/>
        </w:rPr>
        <w:fldChar w:fldCharType="end"/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). 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t>[2]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14044،2006: الإدارة البيئية، تقييم دورة الحياة، المتطلبات و الإرشادات.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CEN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 (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instrText xml:space="preserve"> HYPERLINK "http://www.iso.org" </w:instrTex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5D0DCC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t>[3]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5D0DCC">
        <w:rPr>
          <w:rFonts w:asciiTheme="majorBidi" w:hAnsiTheme="majorBidi" w:cstheme="majorBidi"/>
          <w:sz w:val="24"/>
          <w:szCs w:val="24"/>
          <w:lang w:bidi="ar-OM"/>
        </w:rPr>
        <w:t>Colorificio</w:t>
      </w:r>
      <w:proofErr w:type="spellEnd"/>
      <w:r w:rsidRPr="005D0DCC">
        <w:rPr>
          <w:rFonts w:asciiTheme="majorBidi" w:hAnsiTheme="majorBidi" w:cstheme="majorBidi"/>
          <w:sz w:val="24"/>
          <w:szCs w:val="24"/>
          <w:lang w:bidi="ar-OM"/>
        </w:rPr>
        <w:t xml:space="preserve"> San Marco, LCA project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"ورقة البيانات البيئية" 2013. 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lastRenderedPageBreak/>
        <w:t>[4]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5D0DCC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2011: قاعدة بيانات </w:t>
      </w:r>
      <w:proofErr w:type="spellStart"/>
      <w:r w:rsidRPr="005D0DCC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5D0DCC">
        <w:rPr>
          <w:rFonts w:asciiTheme="majorBidi" w:hAnsiTheme="majorBidi" w:cstheme="majorBidi"/>
          <w:sz w:val="24"/>
          <w:szCs w:val="24"/>
          <w:lang w:bidi="ar-OM"/>
        </w:rPr>
        <w:t xml:space="preserve"> v2.2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. المركز السويسري لتقييم دورة الحياة، (</w:t>
      </w:r>
      <w:r w:rsidRPr="005D0DCC">
        <w:rPr>
          <w:rFonts w:asciiTheme="majorBidi" w:hAnsiTheme="majorBidi" w:cstheme="majorBidi"/>
          <w:sz w:val="24"/>
          <w:szCs w:val="24"/>
        </w:rPr>
        <w:fldChar w:fldCharType="begin"/>
      </w:r>
      <w:r w:rsidRPr="005D0DCC">
        <w:rPr>
          <w:rFonts w:asciiTheme="majorBidi" w:hAnsiTheme="majorBidi" w:cstheme="majorBidi"/>
          <w:sz w:val="24"/>
          <w:szCs w:val="24"/>
        </w:rPr>
        <w:instrText>HYPERLINK "http://www.ecoinvent.ch"</w:instrText>
      </w:r>
      <w:r w:rsidRPr="005D0DCC">
        <w:rPr>
          <w:rFonts w:asciiTheme="majorBidi" w:hAnsiTheme="majorBidi" w:cstheme="majorBidi"/>
          <w:sz w:val="24"/>
          <w:szCs w:val="24"/>
        </w:rPr>
        <w:fldChar w:fldCharType="separate"/>
      </w:r>
      <w:r w:rsidRPr="005D0DCC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www.ecoinvent.ch</w:t>
      </w:r>
      <w:r w:rsidRPr="005D0DCC">
        <w:rPr>
          <w:rFonts w:asciiTheme="majorBidi" w:hAnsiTheme="majorBidi" w:cstheme="majorBidi"/>
          <w:sz w:val="24"/>
          <w:szCs w:val="24"/>
        </w:rPr>
        <w:fldChar w:fldCharType="end"/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t>[5]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5D0DCC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5D0DCC">
        <w:rPr>
          <w:rFonts w:asciiTheme="majorBidi" w:hAnsiTheme="majorBidi" w:cstheme="majorBidi"/>
          <w:sz w:val="24"/>
          <w:szCs w:val="24"/>
          <w:lang w:bidi="ar-OM"/>
        </w:rPr>
        <w:t>, 2011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البرنامج المخصص </w:t>
      </w:r>
      <w:proofErr w:type="spellStart"/>
      <w:r w:rsidRPr="005D0DCC">
        <w:rPr>
          <w:rFonts w:asciiTheme="majorBidi" w:hAnsiTheme="majorBidi" w:cstheme="majorBidi"/>
          <w:sz w:val="24"/>
          <w:szCs w:val="24"/>
          <w:lang w:bidi="ar-OM"/>
        </w:rPr>
        <w:t>SimaPro</w:t>
      </w:r>
      <w:proofErr w:type="spell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7.3.3. مستشارين </w:t>
      </w:r>
      <w:proofErr w:type="spellStart"/>
      <w:r w:rsidRPr="005D0DCC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، هولندا (</w:t>
      </w:r>
      <w:r w:rsidRPr="005D0DCC">
        <w:rPr>
          <w:rFonts w:asciiTheme="majorBidi" w:hAnsiTheme="majorBidi" w:cstheme="majorBidi"/>
          <w:sz w:val="24"/>
          <w:szCs w:val="24"/>
        </w:rPr>
        <w:fldChar w:fldCharType="begin"/>
      </w:r>
      <w:r w:rsidRPr="005D0DCC">
        <w:rPr>
          <w:rFonts w:asciiTheme="majorBidi" w:hAnsiTheme="majorBidi" w:cstheme="majorBidi"/>
          <w:sz w:val="24"/>
          <w:szCs w:val="24"/>
        </w:rPr>
        <w:instrText>HYPERLINK "http://www.pre-sustainability.com"</w:instrText>
      </w:r>
      <w:r w:rsidRPr="005D0DCC">
        <w:rPr>
          <w:rFonts w:asciiTheme="majorBidi" w:hAnsiTheme="majorBidi" w:cstheme="majorBidi"/>
          <w:sz w:val="24"/>
          <w:szCs w:val="24"/>
        </w:rPr>
        <w:fldChar w:fldCharType="separate"/>
      </w:r>
      <w:r w:rsidRPr="005D0DCC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www.pre-sustainability.com</w:t>
      </w:r>
      <w:r w:rsidRPr="005D0DCC">
        <w:rPr>
          <w:rFonts w:asciiTheme="majorBidi" w:hAnsiTheme="majorBidi" w:cstheme="majorBidi"/>
          <w:sz w:val="24"/>
          <w:szCs w:val="24"/>
        </w:rPr>
        <w:fldChar w:fldCharType="end"/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). 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t>[6]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PCR 2010:18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. الدهانات و الطلاء و المنتجات ذات صلة. قواعد فئة المنتج لاعداد إعلان المنتج البيئي للدهانات و الطلاء و المنتجات ذات الصلة، مجلس الإدارة البيئية السويدية (</w:t>
      </w:r>
      <w:r w:rsidRPr="005D0DCC">
        <w:rPr>
          <w:rFonts w:asciiTheme="majorBidi" w:hAnsiTheme="majorBidi" w:cstheme="majorBidi"/>
          <w:sz w:val="24"/>
          <w:szCs w:val="24"/>
        </w:rPr>
        <w:fldChar w:fldCharType="begin"/>
      </w:r>
      <w:r w:rsidRPr="005D0DCC">
        <w:rPr>
          <w:rFonts w:asciiTheme="majorBidi" w:hAnsiTheme="majorBidi" w:cstheme="majorBidi"/>
          <w:sz w:val="24"/>
          <w:szCs w:val="24"/>
        </w:rPr>
        <w:instrText>HYPERLINK "http://www.environdec.com"</w:instrText>
      </w:r>
      <w:r w:rsidRPr="005D0DCC">
        <w:rPr>
          <w:rFonts w:asciiTheme="majorBidi" w:hAnsiTheme="majorBidi" w:cstheme="majorBidi"/>
          <w:sz w:val="24"/>
          <w:szCs w:val="24"/>
        </w:rPr>
        <w:fldChar w:fldCharType="separate"/>
      </w:r>
      <w:r w:rsidRPr="005D0DCC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www.environdec.com</w:t>
      </w:r>
      <w:r w:rsidRPr="005D0DCC">
        <w:rPr>
          <w:rFonts w:asciiTheme="majorBidi" w:hAnsiTheme="majorBidi" w:cstheme="majorBidi"/>
          <w:sz w:val="24"/>
          <w:szCs w:val="24"/>
        </w:rPr>
        <w:fldChar w:fldCharType="end"/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t>[7]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مجلس المباني الخضراء في الولايات المتحدة،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 نظام تصنيف البناء الجديد والتجديدات الكبرى (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new.usgbc.org/</w:t>
      </w:r>
      <w:proofErr w:type="spellStart"/>
      <w:r w:rsidRPr="005D0DCC">
        <w:rPr>
          <w:rFonts w:asciiTheme="majorBidi" w:hAnsiTheme="majorBidi" w:cstheme="majorBidi"/>
          <w:sz w:val="24"/>
          <w:szCs w:val="24"/>
          <w:lang w:bidi="ar-OM"/>
        </w:rPr>
        <w:t>leed</w:t>
      </w:r>
      <w:proofErr w:type="spellEnd"/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>)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5D0DCC">
        <w:rPr>
          <w:rFonts w:asciiTheme="majorBidi" w:hAnsiTheme="majorBidi" w:cstheme="majorBidi"/>
          <w:sz w:val="24"/>
          <w:szCs w:val="24"/>
          <w:lang w:bidi="ar-OM"/>
        </w:rPr>
        <w:t>[8]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التوجيه 2004/42 /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الصادر عن البرلمان الأوروبي والمجلس بشأن الحد من انبعاثات المركبات العضوية المتطايرة بسبب استخدام المذيبات العضوية في بعض الدهانات والورنيش ومنتجات إعادة طلاء المركبات وتعديل التوجيه 1999/13 / </w:t>
      </w:r>
      <w:r w:rsidRPr="005D0DCC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5D0DC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(21 أبريل 2004)</w:t>
      </w:r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hyperlink r:id="rId7" w:history="1">
        <w:r w:rsidRPr="005D0DCC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http://www.novacoloroman.om/assets/en_n219_africa_sa_20150217_111921.pdf</w:t>
        </w:r>
      </w:hyperlink>
    </w:p>
    <w:p w:rsidR="005D0DCC" w:rsidRPr="005D0DCC" w:rsidRDefault="005D0DCC" w:rsidP="005D0DCC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val="en-GB" w:bidi="ar-OM"/>
        </w:rPr>
      </w:pPr>
    </w:p>
    <w:sectPr w:rsidR="005D0DCC" w:rsidRPr="005D0DCC" w:rsidSect="00376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C8" w:rsidRDefault="003A37C8" w:rsidP="00563144">
      <w:pPr>
        <w:spacing w:after="0" w:line="240" w:lineRule="auto"/>
      </w:pPr>
      <w:r>
        <w:separator/>
      </w:r>
    </w:p>
  </w:endnote>
  <w:endnote w:type="continuationSeparator" w:id="0">
    <w:p w:rsidR="003A37C8" w:rsidRDefault="003A37C8" w:rsidP="0056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44" w:rsidRDefault="005631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44" w:rsidRDefault="005631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44" w:rsidRDefault="00563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C8" w:rsidRDefault="003A37C8" w:rsidP="00563144">
      <w:pPr>
        <w:spacing w:after="0" w:line="240" w:lineRule="auto"/>
      </w:pPr>
      <w:r>
        <w:separator/>
      </w:r>
    </w:p>
  </w:footnote>
  <w:footnote w:type="continuationSeparator" w:id="0">
    <w:p w:rsidR="003A37C8" w:rsidRDefault="003A37C8" w:rsidP="0056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44" w:rsidRDefault="005631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44" w:rsidRDefault="00563144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44" w:rsidRDefault="005631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5672"/>
    <w:multiLevelType w:val="hybridMultilevel"/>
    <w:tmpl w:val="3B0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144"/>
    <w:rsid w:val="00376F31"/>
    <w:rsid w:val="003A37C8"/>
    <w:rsid w:val="004862F7"/>
    <w:rsid w:val="00554F6F"/>
    <w:rsid w:val="00563144"/>
    <w:rsid w:val="005D0DCC"/>
    <w:rsid w:val="00BA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44"/>
  </w:style>
  <w:style w:type="paragraph" w:styleId="Footer">
    <w:name w:val="footer"/>
    <w:basedOn w:val="Normal"/>
    <w:link w:val="FooterChar"/>
    <w:uiPriority w:val="99"/>
    <w:unhideWhenUsed/>
    <w:rsid w:val="00563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44"/>
  </w:style>
  <w:style w:type="paragraph" w:styleId="ListParagraph">
    <w:name w:val="List Paragraph"/>
    <w:basedOn w:val="Normal"/>
    <w:uiPriority w:val="34"/>
    <w:qFormat/>
    <w:rsid w:val="004862F7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8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0D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vacoloroman.om/assets/en_n219_africa_sa_20150217_11192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MOHAMMAD FAKHRI AL YAWER</dc:creator>
  <cp:keywords/>
  <dc:description/>
  <cp:lastModifiedBy>Mohammad</cp:lastModifiedBy>
  <cp:revision>2</cp:revision>
  <dcterms:created xsi:type="dcterms:W3CDTF">2017-04-30T07:37:00Z</dcterms:created>
  <dcterms:modified xsi:type="dcterms:W3CDTF">2017-04-30T23:57:00Z</dcterms:modified>
</cp:coreProperties>
</file>