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D" w:rsidRPr="00A13A77" w:rsidRDefault="00D80E9B" w:rsidP="00D80E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لوحة حائط فيرديرام</w:t>
      </w:r>
    </w:p>
    <w:p w:rsidR="00D80E9B" w:rsidRPr="00A13A77" w:rsidRDefault="00D80E9B" w:rsidP="00D80E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طبقة زخرفية مع تأثير النحاس الأخضر المؤكسد</w:t>
      </w:r>
    </w:p>
    <w:p w:rsidR="00D80E9B" w:rsidRPr="00A13A77" w:rsidRDefault="00D80E9B" w:rsidP="00D80E9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175A1A" w:rsidRPr="00A13A77" w:rsidRDefault="00175A1A" w:rsidP="00175A1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المواصفات العامة</w:t>
      </w:r>
    </w:p>
    <w:p w:rsidR="00175A1A" w:rsidRPr="00A13A77" w:rsidRDefault="00175A1A" w:rsidP="008B765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لوحة حائط فيرديرام هو ن</w:t>
      </w:r>
      <w:r w:rsidR="008B7656">
        <w:rPr>
          <w:rFonts w:asciiTheme="majorBidi" w:hAnsiTheme="majorBidi" w:cstheme="majorBidi"/>
          <w:sz w:val="24"/>
          <w:szCs w:val="24"/>
          <w:rtl/>
          <w:lang w:bidi="ar-OM"/>
        </w:rPr>
        <w:t>ظام قائم على المياه يتكون من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8B7656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طبقة </w:t>
      </w:r>
      <w:r w:rsidR="008B765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أساسية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(لوحة حائط فيرديرام فوندو) والتشطيب المؤكسد (لوحة حائط فيرديرام ليكيدو أنتيتشيزانت).</w:t>
      </w:r>
    </w:p>
    <w:p w:rsidR="00175A1A" w:rsidRPr="00A13A77" w:rsidRDefault="00EF2B71" w:rsidP="00EF2B7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تطبيق لوحة حائط فيرديرام ليكيدو أنتيشيزانت على لوحة حائط فيرديرام فوندو تنتج تأثير مؤكسد تماما كتأثير سطح النحاس الأخضر المعرض للتآكل الطبيعي للعوامل الجوية.</w:t>
      </w:r>
    </w:p>
    <w:p w:rsidR="00EF2B71" w:rsidRPr="00A13A77" w:rsidRDefault="00EF2B71" w:rsidP="00EF2B7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يمكن استخدام لوحة حائط فيرديرام على الأسطح الداخلية و الخارجية. من الممكن تعديل لون لوحة حائط فيرديرام في حال استخدامها لتزيين الأسطح الداخلية، و كذلك إنشاء وتخصيص آثار الأكسدة الجمالية.</w:t>
      </w:r>
    </w:p>
    <w:p w:rsidR="00EF2B71" w:rsidRPr="00A13A77" w:rsidRDefault="00EF2B71" w:rsidP="00EF2B7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الاستخدامات</w:t>
      </w:r>
    </w:p>
    <w:p w:rsidR="00EF2B71" w:rsidRPr="00A13A77" w:rsidRDefault="00992465" w:rsidP="0002676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مع نظامها الزخرفي</w:t>
      </w:r>
      <w:r w:rsidR="0002676E" w:rsidRPr="00A13A77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="0002676E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القائم على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البوليمرات</w:t>
      </w:r>
      <w:r w:rsidR="0002676E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فمن الممكن تحقيق تأثيرات أكسدة مختلفة، مع الأخذ بعين الاعتبار طلبات العملاء.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مع إجراءات تطبيق مختلفة، يمكن استخدام لوحة حائط فيرديرام على: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</w:rPr>
      </w:pPr>
      <w:r w:rsidRPr="00A13A77">
        <w:rPr>
          <w:rFonts w:asciiTheme="majorBidi" w:hAnsiTheme="majorBidi" w:cstheme="majorBidi"/>
          <w:sz w:val="24"/>
          <w:szCs w:val="24"/>
          <w:rtl/>
        </w:rPr>
        <w:t>-  مدافع الهاون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</w:rPr>
      </w:pPr>
      <w:r w:rsidRPr="00A13A77">
        <w:rPr>
          <w:rFonts w:asciiTheme="majorBidi" w:hAnsiTheme="majorBidi" w:cstheme="majorBidi"/>
          <w:sz w:val="24"/>
          <w:szCs w:val="24"/>
          <w:rtl/>
        </w:rPr>
        <w:t>- اللصقات الجديدة الجيدة المختلطة مسبقا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</w:rPr>
      </w:pPr>
      <w:r w:rsidRPr="00A13A77">
        <w:rPr>
          <w:rFonts w:asciiTheme="majorBidi" w:hAnsiTheme="majorBidi" w:cstheme="majorBidi"/>
          <w:sz w:val="24"/>
          <w:szCs w:val="24"/>
          <w:rtl/>
        </w:rPr>
        <w:t>- لصقات الجير الموجودة مسبقا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</w:rPr>
      </w:pPr>
      <w:r w:rsidRPr="00A13A77">
        <w:rPr>
          <w:rFonts w:asciiTheme="majorBidi" w:hAnsiTheme="majorBidi" w:cstheme="majorBidi"/>
          <w:sz w:val="24"/>
          <w:szCs w:val="24"/>
          <w:rtl/>
        </w:rPr>
        <w:t>- ألواح الجبس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A13A77">
        <w:rPr>
          <w:rFonts w:asciiTheme="majorBidi" w:hAnsiTheme="majorBidi" w:cstheme="majorBidi"/>
          <w:sz w:val="24"/>
          <w:szCs w:val="24"/>
          <w:rtl/>
        </w:rPr>
        <w:t>- الدهانات الاصطناعية والمعدنية الموجودة مسبقا</w:t>
      </w:r>
    </w:p>
    <w:p w:rsidR="0002676E" w:rsidRPr="00A13A77" w:rsidRDefault="0002676E" w:rsidP="0002676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الخلطات المعدنية إذا كانت قابلة للامتصاص</w:t>
      </w:r>
    </w:p>
    <w:p w:rsidR="0002676E" w:rsidRPr="00A13A77" w:rsidRDefault="0002676E" w:rsidP="0002676E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ركائز الخشب القابل للاختراق، مثل الألواح الليفية المتوسطة الكثافة، أو الحافظة أو الخشب الرقائقي</w:t>
      </w:r>
    </w:p>
    <w:p w:rsidR="0002676E" w:rsidRPr="00A13A77" w:rsidRDefault="0002676E" w:rsidP="0002676E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ركائز كلوريد البولي فينيل</w:t>
      </w:r>
    </w:p>
    <w:p w:rsidR="0002676E" w:rsidRPr="00A13A77" w:rsidRDefault="0002676E" w:rsidP="0002676E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الركائز الصلبة المطلية بالزنك</w:t>
      </w:r>
    </w:p>
    <w:p w:rsidR="0002676E" w:rsidRPr="00A13A77" w:rsidRDefault="0002676E" w:rsidP="0002676E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ركائز الحديد</w:t>
      </w:r>
    </w:p>
    <w:p w:rsidR="0002676E" w:rsidRPr="00A13A77" w:rsidRDefault="0002676E" w:rsidP="0002676E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- الاسمنت الليفي</w:t>
      </w:r>
    </w:p>
    <w:p w:rsidR="0002736A" w:rsidRPr="00A13A77" w:rsidRDefault="0002736A" w:rsidP="00870D01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لا يتم تطبيقه على ركائز معدنية جديدة. القلوية العالية للركيزة تعيق عملية الأكسدة من منشط الصدأ، </w:t>
      </w:r>
      <w:r w:rsidR="00870D01" w:rsidRPr="00A13A77">
        <w:rPr>
          <w:rFonts w:asciiTheme="majorBidi" w:hAnsiTheme="majorBidi" w:cstheme="majorBidi"/>
          <w:sz w:val="24"/>
          <w:szCs w:val="24"/>
          <w:rtl/>
          <w:lang w:bidi="ar-OM"/>
        </w:rPr>
        <w:t>لوحة حائط فيرديرام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ليكيدو أنتيتشيزانت.</w:t>
      </w:r>
    </w:p>
    <w:p w:rsidR="0002736A" w:rsidRPr="00A13A77" w:rsidRDefault="0002736A" w:rsidP="00870D01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لا </w:t>
      </w:r>
      <w:r w:rsidR="00870D01" w:rsidRPr="00A13A77">
        <w:rPr>
          <w:rFonts w:asciiTheme="majorBidi" w:hAnsiTheme="majorBidi" w:cstheme="majorBidi"/>
          <w:sz w:val="24"/>
          <w:szCs w:val="24"/>
          <w:rtl/>
          <w:lang w:bidi="ar-OM"/>
        </w:rPr>
        <w:t>ي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طبق على </w:t>
      </w:r>
      <w:r w:rsidR="00870D01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ركائز الرطب</w:t>
      </w:r>
      <w:r w:rsidR="00870D01" w:rsidRPr="00A13A77">
        <w:rPr>
          <w:rFonts w:asciiTheme="majorBidi" w:hAnsiTheme="majorBidi" w:cstheme="majorBidi"/>
          <w:sz w:val="24"/>
          <w:szCs w:val="24"/>
          <w:rtl/>
          <w:lang w:bidi="ar-OM"/>
        </w:rPr>
        <w:t>ة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870D01" w:rsidRPr="00A13A77" w:rsidRDefault="00870D01" w:rsidP="00870D0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مميزات التحديد</w:t>
      </w:r>
    </w:p>
    <w:p w:rsidR="00870D01" w:rsidRPr="00A13A77" w:rsidRDefault="00870D01" w:rsidP="00870D0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 xml:space="preserve">طبيعة الموثق: البوليمرات في مستحلب الماء. </w:t>
      </w:r>
    </w:p>
    <w:p w:rsidR="00870D01" w:rsidRPr="00A13A77" w:rsidRDefault="00870D01" w:rsidP="00870D01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الكثافة: </w:t>
      </w:r>
    </w:p>
    <w:p w:rsidR="00870D01" w:rsidRPr="00A13A77" w:rsidRDefault="00870D01" w:rsidP="00870D01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فوندو: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1.28 +/- 0.05 جرام/مل</w:t>
      </w:r>
    </w:p>
    <w:p w:rsidR="00544B0B" w:rsidRPr="00A13A77" w:rsidRDefault="00870D01" w:rsidP="00544B0B">
      <w:pPr>
        <w:tabs>
          <w:tab w:val="right" w:pos="1513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ليكيدو أنتيتشيزانت: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1.04 +/- 0.05 جرام/مل</w:t>
      </w:r>
    </w:p>
    <w:p w:rsidR="00544B0B" w:rsidRPr="00A13A77" w:rsidRDefault="00544B0B" w:rsidP="00544B0B">
      <w:pPr>
        <w:tabs>
          <w:tab w:val="right" w:pos="1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544B0B" w:rsidRPr="00A13A77" w:rsidRDefault="00544B0B" w:rsidP="00544B0B">
      <w:pPr>
        <w:tabs>
          <w:tab w:val="right" w:pos="1513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تحذير</w:t>
      </w:r>
    </w:p>
    <w:p w:rsidR="005B4EEF" w:rsidRPr="00A13A77" w:rsidRDefault="00544B0B" w:rsidP="005B4EEF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امزج المادة جيدا قبل الاستخدام. يجب حماية جميع الاسطح من أجل منع الاتصال العرضي مع لوحة حائط فيرديرام ليكيدو أنتيتشيزانت و بالتالي الأكسدة. </w:t>
      </w:r>
    </w:p>
    <w:p w:rsidR="00544B0B" w:rsidRPr="00A13A77" w:rsidRDefault="001A354D" w:rsidP="005B4EEF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الاتصال العرضي للوحة حائط فيرديرام مع ركائز قابلة للامتصاص (الحجر والرخام </w:t>
      </w:r>
      <w:r w:rsidR="005B4EEF" w:rsidRPr="00A13A77">
        <w:rPr>
          <w:rFonts w:asciiTheme="majorBidi" w:hAnsiTheme="majorBidi" w:cstheme="majorBidi"/>
          <w:sz w:val="24"/>
          <w:szCs w:val="24"/>
          <w:rtl/>
          <w:lang w:bidi="ar-OM"/>
        </w:rPr>
        <w:t>والجص الخ.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) سوف</w:t>
      </w:r>
      <w:r w:rsidR="005B4EEF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ي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نتج بقع </w:t>
      </w:r>
      <w:r w:rsidR="005B4EEF" w:rsidRPr="00A13A77">
        <w:rPr>
          <w:rFonts w:asciiTheme="majorBidi" w:hAnsiTheme="majorBidi" w:cstheme="majorBidi"/>
          <w:sz w:val="24"/>
          <w:szCs w:val="24"/>
          <w:rtl/>
          <w:lang w:bidi="ar-OM"/>
        </w:rPr>
        <w:t>غير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سهلة ل</w:t>
      </w:r>
      <w:r w:rsidR="005B4EEF" w:rsidRPr="00A13A77">
        <w:rPr>
          <w:rFonts w:asciiTheme="majorBidi" w:hAnsiTheme="majorBidi" w:cstheme="majorBidi"/>
          <w:sz w:val="24"/>
          <w:szCs w:val="24"/>
          <w:rtl/>
          <w:lang w:bidi="ar-OM"/>
        </w:rPr>
        <w:t>ل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إزالة.</w:t>
      </w:r>
    </w:p>
    <w:p w:rsidR="005B4EEF" w:rsidRPr="00A13A77" w:rsidRDefault="005B4EEF" w:rsidP="005B4EEF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التأثير النهائي يعتمد مباشرة على عدد الطبقات، الكمية والأداة المستخدمة لتطبيق لوحة حائط فيرديرام ليكيدو أنتيتشيزانت.</w:t>
      </w:r>
    </w:p>
    <w:p w:rsidR="005B4EEF" w:rsidRPr="00A13A77" w:rsidRDefault="00A068EB" w:rsidP="00A068EB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الممكن تطبيق لوحة حائط فيرديرام ليكيدو أنتيتشيزانت مع فرشاة الإسفنج أو مع أسطوانة الاسفنج.</w:t>
      </w:r>
    </w:p>
    <w:p w:rsidR="00A068EB" w:rsidRPr="00A13A77" w:rsidRDefault="00C9412F" w:rsidP="00A225F9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إعداد</w:t>
      </w:r>
      <w:r w:rsidR="00A225F9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عينة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A225F9" w:rsidRPr="00A13A77">
        <w:rPr>
          <w:rFonts w:asciiTheme="majorBidi" w:hAnsiTheme="majorBidi" w:cstheme="majorBidi"/>
          <w:sz w:val="24"/>
          <w:szCs w:val="24"/>
          <w:rtl/>
          <w:lang w:bidi="ar-OM"/>
        </w:rPr>
        <w:t>سابقة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أجل تحديد التأثير الم</w:t>
      </w:r>
      <w:r w:rsidR="00A225F9" w:rsidRPr="00A13A77">
        <w:rPr>
          <w:rFonts w:asciiTheme="majorBidi" w:hAnsiTheme="majorBidi" w:cstheme="majorBidi"/>
          <w:sz w:val="24"/>
          <w:szCs w:val="24"/>
          <w:rtl/>
          <w:lang w:bidi="ar-OM"/>
        </w:rPr>
        <w:t>رغوب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A225F9" w:rsidRPr="00A13A77" w:rsidRDefault="00A225F9" w:rsidP="00A225F9">
      <w:pPr>
        <w:tabs>
          <w:tab w:val="right" w:pos="151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إجراء عينة سابقة من أجل تحديد التأثير المطلوب.</w:t>
      </w:r>
    </w:p>
    <w:p w:rsidR="00A225F9" w:rsidRPr="00A13A77" w:rsidRDefault="00A225F9" w:rsidP="00A225F9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يمكن أن يأخذ تطبيق طلاء لوحة حائط فيرديرام على ركائز ذات قابلية منخفضة للامتصاص (الحديد، كلوريد البولي فينيل، ورقة معدنية، والمينا) وقتا أطول التجفيف.</w:t>
      </w:r>
    </w:p>
    <w:p w:rsidR="00A225F9" w:rsidRPr="00A13A77" w:rsidRDefault="008E724C" w:rsidP="00A225F9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في هذه الحالة، من المستحسن التحقق من درجة التجفيف على الركيزة قبل الاستمرار في تطبيق ركائز أخرى.</w:t>
      </w:r>
    </w:p>
    <w:p w:rsidR="008E724C" w:rsidRPr="00A13A77" w:rsidRDefault="008E724C" w:rsidP="003E4478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ومن </w:t>
      </w:r>
      <w:r w:rsidR="003E4478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الممارسات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السليمة استخدام نفس الدفعة</w:t>
      </w:r>
      <w:r w:rsidR="003E4478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دائما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في حال </w:t>
      </w:r>
      <w:r w:rsidR="003E4478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استخدام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دفعات مختلفة، فمن المستحسن خلط الإنتاجات المختلفة، لتجنب الاختلافات </w:t>
      </w:r>
      <w:r w:rsidR="003E4478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الطفيفة في الدرجات.</w:t>
      </w:r>
    </w:p>
    <w:p w:rsidR="003E4478" w:rsidRPr="00A13A77" w:rsidRDefault="003E4478" w:rsidP="00F63E8C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إذا كان هناك حاجة إلى إنتاج جديد، لا تطابق اللونين بطريقة مجاورة. لضبط اللونين، استخدم انقطاع السطح </w:t>
      </w:r>
      <w:r w:rsidR="00F63E8C"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ممكن، </w:t>
      </w:r>
      <w:r w:rsidR="00F63E8C" w:rsidRPr="00A13A77">
        <w:rPr>
          <w:rFonts w:asciiTheme="majorBidi" w:hAnsiTheme="majorBidi" w:cstheme="majorBidi"/>
          <w:sz w:val="24"/>
          <w:szCs w:val="24"/>
          <w:rtl/>
          <w:lang w:bidi="ar-OM"/>
        </w:rPr>
        <w:t>ك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الحواف الخ.</w:t>
      </w:r>
    </w:p>
    <w:p w:rsidR="00F63E8C" w:rsidRPr="00A13A77" w:rsidRDefault="00EC68BE" w:rsidP="00EC68BE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إذا لزم الأمر، استمر في عمليات التحضير، وفقا لطبيعة الركيزة، وذلك باستخدام منتجات محددة.</w:t>
      </w:r>
    </w:p>
    <w:p w:rsidR="00EC68BE" w:rsidRPr="00A13A77" w:rsidRDefault="00EC68BE" w:rsidP="00EC68BE">
      <w:pPr>
        <w:tabs>
          <w:tab w:val="right" w:pos="1513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إذا لزم الأمر، والاستمرار في عمليات التحضير، وفقا لطبيعة الركيزة، وذلك باستخدام منتجات محددة.</w:t>
      </w:r>
    </w:p>
    <w:p w:rsidR="00EC68BE" w:rsidRPr="00A13A77" w:rsidRDefault="00EC68BE" w:rsidP="00FC0DBE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إزالة اي 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>efflorescence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تقشير طلاء قديم. </w:t>
      </w:r>
    </w:p>
    <w:p w:rsidR="00FC0DBE" w:rsidRPr="00A13A77" w:rsidRDefault="00FC0DBE" w:rsidP="00FC0DBE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يجب إزالة الطبقات العليا من الطلاء القديم القائم على الجير و طلاء تمبيرا عن طريق غسلها مع غسالة الضغط أو ترطيب السطح و كشط الطبقات بشكل صحيح.</w:t>
      </w:r>
    </w:p>
    <w:p w:rsidR="00FC0DBE" w:rsidRPr="00A13A77" w:rsidRDefault="00FC0DBE" w:rsidP="00FC0DBE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امسخ الغبار والضباب الدخاني أو غيره قبل التطبيق.</w:t>
      </w:r>
    </w:p>
    <w:p w:rsidR="00FC0DBE" w:rsidRPr="00A13A77" w:rsidRDefault="00FC0DBE" w:rsidP="00FC0DBE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إرسل و نظف السطح و استمر: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رئيسي - طبقة القاعدة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الركيزة 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هاون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lastRenderedPageBreak/>
              <w:t>طبقة واحدة من ديكوفيكس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اللصقات الجديدة و المخلطة مسبقا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لصقات الجير الموجودة مسبقا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الدهانات الاصطناعية أو المعدنية الموجودة مسبقا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التكتلات المعدنية المختلفة القابلة للامتصاص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ألواح الجبس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مختلف الألواح، الخشب الرقائقي، ألياف متوسطة الكثافة، أسطح خشبية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ركائز البولي فينيل كلورايد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الركائز الصلبة المطلية بالزنك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-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ركائز الحديد</w:t>
            </w:r>
          </w:p>
        </w:tc>
      </w:tr>
      <w:tr w:rsidR="000608D9" w:rsidRPr="00A13A77" w:rsidTr="00EB2196">
        <w:tc>
          <w:tcPr>
            <w:tcW w:w="4621" w:type="dxa"/>
          </w:tcPr>
          <w:p w:rsidR="000608D9" w:rsidRPr="00A13A77" w:rsidRDefault="000608D9" w:rsidP="00EB2196">
            <w:pPr>
              <w:tabs>
                <w:tab w:val="right" w:pos="6049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طبقة واحدة من ديكوفيكس أو فوندو يونيفرسال</w:t>
            </w:r>
          </w:p>
        </w:tc>
        <w:tc>
          <w:tcPr>
            <w:tcW w:w="4621" w:type="dxa"/>
          </w:tcPr>
          <w:p w:rsidR="000608D9" w:rsidRPr="00A13A77" w:rsidRDefault="000608D9" w:rsidP="00EB219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13A77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الاسمنت الليفي</w:t>
            </w:r>
          </w:p>
        </w:tc>
      </w:tr>
    </w:tbl>
    <w:p w:rsidR="00FC0DBE" w:rsidRPr="00A13A77" w:rsidRDefault="00FC0DBE" w:rsidP="00FC0DBE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التطبيق</w:t>
      </w: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 (يستخدم كأساس):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 أو أسطوانة ذات شعر على السطح</w:t>
      </w: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فوندو العالمي: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فرشاة، أسطوانة ذات شعر قصير، رشاش</w:t>
      </w: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لوحة حائط فيرديرام فوندو: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فرشاة، أسطوانة</w:t>
      </w: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لوحة حائط فيرديرام ليكيدو أنتيشيزانت: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إسفنجة، فرشاة، أسطوانة الاسفنج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تشطيب مونوكومبوننت الواضح: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أسطوانة للمينا.</w:t>
      </w: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0608D9" w:rsidRPr="00A13A77" w:rsidRDefault="000608D9" w:rsidP="000608D9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إعداد المنتجات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ديكوفيكس: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يخفف مع الماء. الكمية متغيرة اعتمادا على نوع الركيزة و امتصاصها. 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لصقات الجير و ألواح الجبس من 50% إلى 100%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اللصقات، مواد التنعيم، و الدهانات المتفتتة الموجودة مسبقا من 100% إلى 200%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الإسمنت: 200% إلى 300%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فوندو: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جاهزة للاستخدام، يخفف مع 10% من الماء</w:t>
      </w:r>
    </w:p>
    <w:p w:rsidR="000608D9" w:rsidRPr="00A13A77" w:rsidRDefault="000608D9" w:rsidP="000608D9">
      <w:pPr>
        <w:tabs>
          <w:tab w:val="right" w:pos="1513"/>
          <w:tab w:val="right" w:pos="4490"/>
          <w:tab w:val="right" w:pos="4773"/>
          <w:tab w:val="right" w:pos="5482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ليكيدو أنتيشيزانت: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جاهزة للاستخدام</w:t>
      </w:r>
    </w:p>
    <w:p w:rsidR="000608D9" w:rsidRPr="00A13A77" w:rsidRDefault="000608D9" w:rsidP="002163ED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تشطيب مونوكومبوننت الواضح: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خفف الطبقة الأولى</w:t>
      </w:r>
      <w:r w:rsidR="002163ED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مع 30٪ إلى 40% من الماء، بدون أو مع تخفيف 5% من الماء للطبقة الثانية.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التطبيق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على الركيزة الجافة والمعالجة مسبقا، يجب تطبيق طبقة من لوحة حائط فيرديرام فوندو مع أسطوانة.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بعد 4 ساعات على الاقل، يتم تطبيق طبقة أخرى من لوحة حائط فيرديرام فوندو مع أسطوانة. 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بعد 12 ساعة على الاقل، يتم تطبيق طبقة واحدة من لوحة حائط فيرديرام ليكيدو أنتيتشيزانت باستخدام اسطوانة الاسفنج.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يتم تطبيق طبقة أخرى مع مجرفة الفولاذ المقاوم للصدأ بالاستمرار من الاعلى إلى الأسفل ومن اليمين إلى اليسار.</w:t>
      </w:r>
    </w:p>
    <w:p w:rsidR="00457C64" w:rsidRPr="00A13A77" w:rsidRDefault="00457C64" w:rsidP="00457C64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الممكن تكرار خطوة الأكسدة و التطبيق مع فترات بين ساعتين، تحوير الاوقات و الكميات من لوحة حائط فيرديرام ليكيدو أنتيتشيزانت، اعتمادا على النتيجة الجمالية المطلوبة.</w:t>
      </w:r>
    </w:p>
    <w:p w:rsidR="00457C64" w:rsidRPr="00A13A77" w:rsidRDefault="00976927" w:rsidP="00457C64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قبل الاستمرار في حماية السطح، من المستحسن الانتظار 24 ساعة على الأقل من مرحلة الأكسدة الماضية، وفقا لنوع الركيزة، امتصاصها و الظروف البيئية.</w:t>
      </w:r>
    </w:p>
    <w:p w:rsidR="00976927" w:rsidRPr="00A13A77" w:rsidRDefault="00976927" w:rsidP="00976927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976927" w:rsidRPr="00A13A77" w:rsidRDefault="00E132B6" w:rsidP="00976927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تطبيق تشطيب مونوكومبوننت الواضح يغير الجانب الجمالي من السطح قليلا. يتم الوصول إلى الأداء المثالي بعد 5 أيام من تطبيق الحماية.</w:t>
      </w: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الأسطح الداخلية</w:t>
      </w: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قبل تطبيق الحماية، يجب إزالة الطباشير الطبيعية والنموذجية للسطح المؤكسد.</w:t>
      </w: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نظف السطح بفرشاة جافة. </w:t>
      </w: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على سطح جاف تماما، يتم تطبيق الطبقة الأولى من تشطيب مونوكومبوننت الواضح، وذلك باستخدام أسطوانة للمينا، المخفف مع 30٪ من الماء.</w:t>
      </w:r>
    </w:p>
    <w:p w:rsidR="005C161E" w:rsidRPr="00A13A77" w:rsidRDefault="005C161E" w:rsidP="005C161E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لزيادة حماية السطح، من الممكن تطبيق طبقة ثانية من تشطيب مونومبوننت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الواضح على سطح جاف، المخفف مع 5٪ </w:t>
      </w:r>
      <w:r w:rsidR="00017B81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كحد أقصى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الماء، وفقا للتعليمات السابقة.</w:t>
      </w:r>
    </w:p>
    <w:p w:rsidR="00017B81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المس للتحقق من الجفاف بعد ساعتين، و قابلية الطلي بعد 4 ساعات.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حماية الأسطح الخارجية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قبل الاستمرار في التطبيق، من الضروري إزالة الطباشير النموذجية و الطبيعية للمنتج.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امسح السطح بلطف بفرشاة نظيفة وجافة.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على سطح جاف تماما، يتم تطبيق الطبقة الأولى من تشطيب مونوكومبوننت الواضح، وذلك باستخدام أسطوانة للمينا، المخفف مع 30٪ من الماء.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لزيادة حماية السطح، من الممكن تطبيق طبقة ثانية من تشطيب مونومبوننت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الواضح على سطح جاف، المخفف مع 5٪ كحد أقصى من الماء، وفقا للتعليمات السابقة.</w:t>
      </w:r>
    </w:p>
    <w:p w:rsidR="00D56DFA" w:rsidRPr="00A13A77" w:rsidRDefault="00D56DFA" w:rsidP="00D56DFA">
      <w:pPr>
        <w:tabs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المس للتحقق من الجفاف بعد ساعتين، و قابلية الطلي بعد 4 ساعات.</w:t>
      </w:r>
    </w:p>
    <w:p w:rsidR="00D56DFA" w:rsidRPr="00A13A77" w:rsidRDefault="00D56DFA" w:rsidP="00D56DFA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التوصيات </w:t>
      </w:r>
    </w:p>
    <w:p w:rsidR="00D56DFA" w:rsidRPr="00A13A77" w:rsidRDefault="00D56DFA" w:rsidP="00D56DF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اثناء عملية التطبيق بأكملها، يجب ان يكون المنتج محمي من تغيرات الباردة و العالية.</w:t>
      </w:r>
    </w:p>
    <w:p w:rsidR="00D56DFA" w:rsidRPr="00A13A77" w:rsidRDefault="00D56DFA" w:rsidP="00D56DF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لا يمكن ان يقوم تطبيق الطبقة بوجود الهواء، الركيزة و المنتج ذات درجة حرارة اقل من 10 درجات مئوية و اعلى من 35 درجة مئوية، ولا تحت ضوء الشمس المباشر، ولا على الاسطح المغلية بشدة (حتى لو كان في الظل).</w:t>
      </w:r>
    </w:p>
    <w:p w:rsidR="00D56DFA" w:rsidRPr="00A13A77" w:rsidRDefault="00D56DFA" w:rsidP="00D56DF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يجب ان تكون الرطوبة البيئية اقل من 75%، و رطوبة الركيزة يجب ان تكون اقل من 10%.</w:t>
      </w:r>
    </w:p>
    <w:p w:rsidR="00D56DFA" w:rsidRPr="00A13A77" w:rsidRDefault="00D56DFA" w:rsidP="00D56DF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>يجب حماية السطح من المطر والرطوبة لمدة 48 ساعة على الأقل من تطبيق الطبقة الأخيرة.</w:t>
      </w:r>
    </w:p>
    <w:p w:rsidR="00D56DFA" w:rsidRPr="00A13A77" w:rsidRDefault="00D56DFA" w:rsidP="00580C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أجل الاستخدام الصحيح للمواد، من التخفيف و الو</w:t>
      </w:r>
      <w:r w:rsidR="00580C68" w:rsidRPr="00A13A77">
        <w:rPr>
          <w:rFonts w:asciiTheme="majorBidi" w:hAnsiTheme="majorBidi" w:cstheme="majorBidi"/>
          <w:sz w:val="24"/>
          <w:szCs w:val="24"/>
          <w:rtl/>
          <w:lang w:bidi="ar-OM"/>
        </w:rPr>
        <w:t>ضع،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فمن المستحسن أن تقرأ ورقة البيانات التقنية</w:t>
      </w:r>
      <w:r w:rsidR="00580C68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بعناية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580C68" w:rsidRPr="00A13A77" w:rsidRDefault="00580C68" w:rsidP="00580C68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أدوات التنظيف</w:t>
      </w:r>
    </w:p>
    <w:p w:rsidR="00580C68" w:rsidRPr="00A13A77" w:rsidRDefault="00580C68" w:rsidP="00580C6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مع الماء، مباشرة بعد الاستخدام.</w:t>
      </w:r>
    </w:p>
    <w:p w:rsidR="00580C68" w:rsidRPr="00A13A77" w:rsidRDefault="00580C68" w:rsidP="00580C68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المحصول</w:t>
      </w:r>
    </w:p>
    <w:p w:rsidR="00580C68" w:rsidRPr="00A13A77" w:rsidRDefault="00580C68" w:rsidP="00580C6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من المستحسن دائما إجراء اختبارات أولية في الموقع من أجل تحديد المحصول الصحيح للنظام.</w:t>
      </w:r>
    </w:p>
    <w:p w:rsidR="00580C68" w:rsidRPr="00A13A77" w:rsidRDefault="00580C68" w:rsidP="00E8754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وبناء على طبيعة هذا المنتج والآثار المختلفة التي يمكن تحقيقها، </w:t>
      </w:r>
      <w:r w:rsidR="00E87548"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يجب أن يعتبر المحصول محض إرشادي. </w:t>
      </w:r>
    </w:p>
    <w:p w:rsidR="00E87548" w:rsidRPr="00A13A77" w:rsidRDefault="00E87548" w:rsidP="00E8754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ديكوفيكس: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المحصول الإرشادي 10-15 متر مربع/ لتر.</w:t>
      </w:r>
    </w:p>
    <w:p w:rsidR="00E87548" w:rsidRPr="00A13A77" w:rsidRDefault="00E87548" w:rsidP="00E8754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فوندو يونيفرسال: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4-5 متر مربع/لتر، في طبقتين، اعتمادا على نوع الركيزة و امتصاصها. </w:t>
      </w:r>
    </w:p>
    <w:p w:rsidR="00E87548" w:rsidRPr="00A13A77" w:rsidRDefault="00E87548" w:rsidP="00E8754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8-12 متر مربع/لتر في طبقتين، اعتمادا على نوع الركيزة و امتصاصها.</w:t>
      </w:r>
    </w:p>
    <w:p w:rsidR="00E87548" w:rsidRPr="00A13A77" w:rsidRDefault="007C2743" w:rsidP="00E87548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ليكيدو أنتيتشيزانت: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10 -14 متر مربع/لتر في طبقتين، اعتمادا على نوع الركيزة و امتصاصها.</w:t>
      </w:r>
    </w:p>
    <w:p w:rsidR="007C2743" w:rsidRPr="00A13A77" w:rsidRDefault="007C2743" w:rsidP="007C2743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تشطيب مونوكومبوننت الواضح: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12-14 متر مربع/لتر في طبقتين، اعتمادا على تشطيب الركيزة و امتصاصها.</w:t>
      </w:r>
    </w:p>
    <w:p w:rsidR="007C2743" w:rsidRPr="00A13A77" w:rsidRDefault="007C2743" w:rsidP="007C2743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الألوان</w:t>
      </w:r>
    </w:p>
    <w:p w:rsidR="007C2743" w:rsidRPr="00A13A77" w:rsidRDefault="007C2743" w:rsidP="007C2743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فوندو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قابل للتلوين</w:t>
      </w:r>
    </w:p>
    <w:p w:rsidR="007C2743" w:rsidRPr="00A13A77" w:rsidRDefault="007C2743" w:rsidP="007C2743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فوندو </w:t>
      </w:r>
      <w:r w:rsidR="0084576E" w:rsidRPr="00A13A77">
        <w:rPr>
          <w:rFonts w:asciiTheme="majorBidi" w:hAnsiTheme="majorBidi" w:cstheme="majorBidi"/>
          <w:sz w:val="24"/>
          <w:szCs w:val="24"/>
          <w:rtl/>
          <w:lang w:bidi="ar-OM"/>
        </w:rPr>
        <w:t>و ألوان من بطاقة لون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لوحة حائط فيرديرام</w:t>
      </w:r>
      <w:r w:rsidR="0084576E"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. </w:t>
      </w:r>
    </w:p>
    <w:p w:rsidR="0084576E" w:rsidRPr="00A13A77" w:rsidRDefault="0084576E" w:rsidP="0084576E">
      <w:pPr>
        <w:tabs>
          <w:tab w:val="left" w:pos="550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التعبئة و التغليف</w:t>
      </w: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ab/>
      </w:r>
    </w:p>
    <w:p w:rsidR="0084576E" w:rsidRPr="00A13A77" w:rsidRDefault="0084576E" w:rsidP="0084576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لوحة حائط فيرديرام: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علب 1 لتر</w:t>
      </w:r>
    </w:p>
    <w:p w:rsidR="0084576E" w:rsidRPr="00A13A77" w:rsidRDefault="0084576E" w:rsidP="0084576E">
      <w:pPr>
        <w:tabs>
          <w:tab w:val="right" w:pos="662"/>
          <w:tab w:val="right" w:pos="6049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لوحة حائط فيرديرام ليكيدو أنتيشيزانت: 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حزم 0.5 لتر</w:t>
      </w:r>
    </w:p>
    <w:p w:rsidR="0084576E" w:rsidRPr="00A13A77" w:rsidRDefault="0084576E" w:rsidP="0084576E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مدة الصلاحية</w:t>
      </w:r>
    </w:p>
    <w:p w:rsidR="0084576E" w:rsidRPr="00A13A77" w:rsidRDefault="0084576E" w:rsidP="0084576E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المنتج المعبأ مضمون لمدة 24 شهرا،  إذا تم تخزينه في حزمة أصلية مغلقة و ودرجات حرارة تتراوح بين + 5 درجة مئوية و +35 درجة مئوية.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الإجراءات الأمنية 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توجيه الاتحاد الأوروبي 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/42/2004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 xml:space="preserve">: 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لوحة حائط فيرديرام فوندو (طلاء التأثير الزخرفي)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قيمة الحد من الأتحاد الأوروبي للوحة حائط فيرديرام فوندو (كات 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>A/l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): 200جم/لتر (2010) </w:t>
      </w:r>
    </w:p>
    <w:p w:rsidR="0084576E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يحتوي لوحة حائط فيرديرام فوندو على 200 غرام/لتر كحد أقصى من المركبات العضوية المتطايرة.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إيرونيك ليكيدو أنتيشيزانت (طلاء التأثير الزخرفي)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lastRenderedPageBreak/>
        <w:t xml:space="preserve">قيمة الحد من الأتحاد الأوروبي لإيرونيك ليكيدو أنتيتشيزانت (كات 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>A/l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): 200جم/لتر (2010) 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يحتوي إيرونيك ليكيدو أنتيتشيزانت على 200 غرام/لتر كحد أقصى من المركبات العضوية المتطايرة.</w:t>
      </w:r>
    </w:p>
    <w:p w:rsidR="00DB77E3" w:rsidRPr="00A13A77" w:rsidRDefault="00DB77E3" w:rsidP="00DB77E3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A13A77" w:rsidRPr="00A13A77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المنتج لا يتطلب علامة وفقا ل</w:t>
      </w:r>
      <w:r w:rsidRPr="00A13A77">
        <w:rPr>
          <w:rFonts w:asciiTheme="majorBidi" w:hAnsiTheme="majorBidi" w:cstheme="majorBidi"/>
          <w:sz w:val="24"/>
          <w:szCs w:val="24"/>
          <w:lang w:bidi="ar-OM"/>
        </w:rPr>
        <w:t xml:space="preserve">  65 D.L.</w:t>
      </w: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بتاريخ 14/03/2003 وبعد التصحيحات. استخدم المنتجات وفقا لقواعد الإجراءات الأمنية والنظافة. تخلص من مواد التعبئة المتبقية وفقا للقوانين المحلية. يجب إبقاء المنتج بعيدا عن استخدام الأطفال وفي مكان متجدد الهواء.</w:t>
      </w:r>
    </w:p>
    <w:p w:rsidR="00A13A77" w:rsidRPr="00A13A77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 حالة ملامسة العينين، اغسلها بالماء فورا. في حالة ابتلاع المنتجات، استشر الطبيب فورا و اظهر له العلبة أوعلامة المنتج. لا تفرغ في المصارف، دورات المياه أو على الأرض. </w:t>
      </w:r>
    </w:p>
    <w:p w:rsidR="00A13A77" w:rsidRPr="00A13A77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لمزيد من المعلومات راجع ورقة بيانات السلامة.</w:t>
      </w:r>
    </w:p>
    <w:p w:rsidR="00A13A77" w:rsidRPr="00A13A77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A13A77">
        <w:rPr>
          <w:rFonts w:asciiTheme="majorBidi" w:hAnsiTheme="majorBidi" w:cstheme="majorBidi"/>
          <w:sz w:val="24"/>
          <w:szCs w:val="24"/>
          <w:rtl/>
          <w:lang w:bidi="ar-OM"/>
        </w:rPr>
        <w:t>ملحوظة: المعلومات الواردة في ورقة البيانات التقنية هذه تأتي من أفضل تجاربنا؛ ولكن هذا لا يضمن أي مسؤولية لشركتنا لتطبيق هذا المنتج دون سيطرتنا.</w:t>
      </w:r>
    </w:p>
    <w:p w:rsidR="00A13A77" w:rsidRPr="00A13A77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A13A77" w:rsidRPr="00A13A77" w:rsidRDefault="006751F0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4" w:history="1">
        <w:r w:rsidR="00A13A77" w:rsidRPr="00A13A77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http://www.novacoloroman.om/assets/technical-data-sheet5.pdf</w:t>
        </w:r>
      </w:hyperlink>
    </w:p>
    <w:p w:rsidR="00A13A77" w:rsidRPr="00DB77E3" w:rsidRDefault="00A13A77" w:rsidP="00A13A77">
      <w:pPr>
        <w:tabs>
          <w:tab w:val="left" w:pos="6641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</w:p>
    <w:sectPr w:rsidR="00A13A77" w:rsidRPr="00DB77E3" w:rsidSect="00483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E9B"/>
    <w:rsid w:val="00017B81"/>
    <w:rsid w:val="0002676E"/>
    <w:rsid w:val="0002736A"/>
    <w:rsid w:val="000608D9"/>
    <w:rsid w:val="001204D3"/>
    <w:rsid w:val="00175A1A"/>
    <w:rsid w:val="001A354D"/>
    <w:rsid w:val="001C290C"/>
    <w:rsid w:val="002163ED"/>
    <w:rsid w:val="00270F8F"/>
    <w:rsid w:val="003E4478"/>
    <w:rsid w:val="004062C5"/>
    <w:rsid w:val="00457C64"/>
    <w:rsid w:val="0048349D"/>
    <w:rsid w:val="00544B0B"/>
    <w:rsid w:val="00580C68"/>
    <w:rsid w:val="005B4EEF"/>
    <w:rsid w:val="005C161E"/>
    <w:rsid w:val="006751F0"/>
    <w:rsid w:val="007C2743"/>
    <w:rsid w:val="007F1990"/>
    <w:rsid w:val="0084576E"/>
    <w:rsid w:val="00870D01"/>
    <w:rsid w:val="008B7656"/>
    <w:rsid w:val="008E724C"/>
    <w:rsid w:val="00976927"/>
    <w:rsid w:val="00992465"/>
    <w:rsid w:val="00A068EB"/>
    <w:rsid w:val="00A13A77"/>
    <w:rsid w:val="00A225F9"/>
    <w:rsid w:val="00C9412F"/>
    <w:rsid w:val="00D56DFA"/>
    <w:rsid w:val="00D80E9B"/>
    <w:rsid w:val="00DB77E3"/>
    <w:rsid w:val="00E132B6"/>
    <w:rsid w:val="00E87548"/>
    <w:rsid w:val="00EC68BE"/>
    <w:rsid w:val="00EF2B71"/>
    <w:rsid w:val="00F63E8C"/>
    <w:rsid w:val="00FC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9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coloroman.om/assets/technical-data-sheet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21</cp:revision>
  <dcterms:created xsi:type="dcterms:W3CDTF">2017-06-09T00:08:00Z</dcterms:created>
  <dcterms:modified xsi:type="dcterms:W3CDTF">2017-06-09T19:35:00Z</dcterms:modified>
</cp:coreProperties>
</file>